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E" w:rsidRPr="0015655E" w:rsidRDefault="0046496E" w:rsidP="0046496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55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16   </w:t>
      </w:r>
    </w:p>
    <w:p w:rsidR="0046496E" w:rsidRPr="0015655E" w:rsidRDefault="0046496E" w:rsidP="0046496E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655E">
        <w:rPr>
          <w:rFonts w:ascii="Times New Roman" w:hAnsi="Times New Roman" w:cs="Times New Roman"/>
          <w:b/>
          <w:sz w:val="20"/>
          <w:szCs w:val="20"/>
        </w:rPr>
        <w:t xml:space="preserve">к Инструкции об этапах, </w:t>
      </w:r>
    </w:p>
    <w:p w:rsidR="0046496E" w:rsidRPr="0015655E" w:rsidRDefault="0046496E" w:rsidP="0046496E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655E">
        <w:rPr>
          <w:rFonts w:ascii="Times New Roman" w:hAnsi="Times New Roman" w:cs="Times New Roman"/>
          <w:b/>
          <w:sz w:val="20"/>
          <w:szCs w:val="20"/>
        </w:rPr>
        <w:t>сроках</w:t>
      </w:r>
      <w:proofErr w:type="gramEnd"/>
      <w:r w:rsidRPr="0015655E">
        <w:rPr>
          <w:rFonts w:ascii="Times New Roman" w:hAnsi="Times New Roman" w:cs="Times New Roman"/>
          <w:b/>
          <w:sz w:val="20"/>
          <w:szCs w:val="20"/>
        </w:rPr>
        <w:t xml:space="preserve">, порядке и процедурах </w:t>
      </w:r>
    </w:p>
    <w:p w:rsidR="0046496E" w:rsidRPr="0046496E" w:rsidRDefault="0046496E" w:rsidP="0046496E">
      <w:pPr>
        <w:pStyle w:val="NoSpacing"/>
        <w:jc w:val="right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15655E">
        <w:rPr>
          <w:rFonts w:ascii="Times New Roman" w:hAnsi="Times New Roman"/>
          <w:b/>
          <w:sz w:val="20"/>
          <w:szCs w:val="20"/>
        </w:rPr>
        <w:t>регистрации ценных бумаг</w:t>
      </w:r>
      <w:r w:rsidRPr="0015655E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46496E" w:rsidRPr="0015655E" w:rsidRDefault="0046496E" w:rsidP="0046496E">
      <w:pPr>
        <w:pStyle w:val="norm"/>
        <w:jc w:val="center"/>
        <w:rPr>
          <w:b/>
          <w:bCs/>
          <w:sz w:val="28"/>
          <w:szCs w:val="28"/>
        </w:rPr>
      </w:pPr>
      <w:r w:rsidRPr="0015655E">
        <w:rPr>
          <w:b/>
          <w:sz w:val="28"/>
          <w:szCs w:val="28"/>
        </w:rPr>
        <w:t xml:space="preserve">Дополнительная информация, сопровождающая примечания о ценных бумагах в рамках предложения облигаций, обеспеченных активами </w:t>
      </w:r>
    </w:p>
    <w:tbl>
      <w:tblPr>
        <w:tblW w:w="5393" w:type="pct"/>
        <w:tblInd w:w="-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9284"/>
      </w:tblGrid>
      <w:tr w:rsidR="0046496E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1. ЦЕННЫЕ БУМАГИ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Минимальная номинальная стоимости эмиссии.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представляется информация о предприятии/дебиторе,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ином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чем эмитент облигаций (например: эмитент гарантии), - подтверждение того, что данная информация воспроизводит с аккуратностью опубликованную данным предприятием/дебитором информацию. Подтверждение того, что по сведениям эмитента и в зависимости от того что он в состоянии подтвердить, принимая во внимание сведения, опубликованные соответствующим предприятием/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дебитором, не умалчиваются факты, которые сделали бы воспроизведенную информацию ложной или вводящей в заблуждение. Указать, также, источник (источники) информации, указанной в примечаниях о ценных бумагах, которая воспроизводит опубликованную предприятием/дебитором информацию.</w:t>
            </w:r>
          </w:p>
        </w:tc>
      </w:tr>
      <w:tr w:rsidR="0046496E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ind w:left="142" w:right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2. СООТВЕТСТВУЮЩИЕ АКТИВЫ (активы-гарантии)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Подтверждение того, что благодаря своим характеристикам соответствующие активы (которые служат источниками гарантии)  имеют способность генерировать финансовые средства, необходимые для покрытия просроченных и взыскиваемых в рамках эмиссии облигаций платежей.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эмиссия гарантируется группой идентифицированных соответствующих активов, указать: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Законодательство, регулирующее данную группу активов;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Если дебиторы немногочисленны и легко идентифицируются – общее описание каждого из них; в любых других случаях – описание общих характеристик дебиторов и экономической среды, а также общие статистические данные о соответствующих активах;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Правовой характер активов;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Дата (даты) истечения срока платежа или погашения активов;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Стоимость активов;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Соотношение заем/стоимость или уровень гарантирования;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Способ создания соответствующих активов и, для займов и кредитных договоров, главные принципы их предоставления; указать, также, займы, которые не отвечают соответствующим критериям, и возможные права и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 воспользоваться иными авансами;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h)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Представляемые эмитенту, значительные декларации и гарантии связанные с активами;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i)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Возможные права на замену активов, способы замены и виды активов, которые можно заменить; возможные случаи для замены одного актива другим активом, другой категории или различного качества, а также описание влияния такого рода замены;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j)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Любой релевантный страховой полис по активам. Необходимо разгласить любую концентрацию на одного единственного страховщика, если это имеет существенное значение для сделки;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k)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существенные активы содержат облигации, выпущенные не более чем 5 дебиторами 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облигационерами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юридическими лицами или если один из дебиторов 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облигационеров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представляет не менее 20% или значительную часть этих активов, в зависимости от того, в какой мере эмитент владеет данной информацией и может ее подтвердить, принимая во внимание сведения, опубликованные соответствующи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>и) дебитором(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ами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a) представляется по каждому дебитору 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облигационеру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информация, которую запросили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если он был бы эмитентом составляющим документ регистрации для заемных документов и производных инструментов, единая номинальная стоимость которых не менее 50 000 евро в леях или;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b) в случае, когда дебитор 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облигационер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или гарант располагает ценными бумагами уже допущенными к торгам на регулируемом рынке или на равноценном рынке, или в случае, когда облигации обеспечены обществом, допущенным к торгам на регулируемом рынке или на равноценном рынке, указать только фамилию дебитора или гаранта, адрес,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страну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где он был создан, характер предприятия и наименование рынка, на котором торгуются его ценные бумаги.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l)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между эмитентом, гарантом и дебитором 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облигационером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существует связь, которая могла бы существенно повлиять на эмиссию – описание главных характеристик данной связи;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m)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соответствующие активы включают доли собственных капиталов, которые не торгуются на регулируемом рынке или на равноценном рынке – описание главных условий данных документов;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n)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соответствующие активы включают доли собственных капиталов, которые допущены к торгам на регулируемом рынке или на равноценном рынке: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описание ценных бумаг;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b) описание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рынка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на котором торгуются ценные бумаги, с указанием даты его учреждения, способов опубликования информации о курсах, о ежедневном объеме сделок, о значимости рынка в соответствующей стране и наименовании органа регулирования данного рынка;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>c) частота опубликования курсов соответствующих ценных бумаг.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5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o)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соответствующие активы включают более 10 % долей собственных капиталов, которые не торгуются на регулируемом рынке или на равноценном рынке – описание данных ценных бумаг, сопровожденное информацией равноценной информации об акциях, предусмотренной в схеме документа регистрации, для каждого эмитента соответствующих ценных бумаг;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p)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значительная часть соответствующих активов обеспечены недвижимым имуществом – отчет оценки данного имущества, а также связанного с ним движения денежных средств/доходов.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(Данное обязательство не применяется в случае, когда выпущенные ценные бумаги обеспечены займом недвижимого имущества, гарантированным ипотеками, если не проводилась переоценка ипотечного имущества в целях эмиссии и если прямо указывается, что упомянутые оценки были проведены на дату первоначального ипотечного займа);</w:t>
            </w:r>
          </w:p>
        </w:tc>
      </w:tr>
      <w:tr w:rsidR="0046496E" w:rsidRPr="0015655E" w:rsidTr="00B24149">
        <w:trPr>
          <w:trHeight w:val="1716"/>
        </w:trPr>
        <w:tc>
          <w:tcPr>
            <w:tcW w:w="25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3)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эмиссия гарантирована группой активно управляемых соответствующих активов: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информация, равноценная информации предусмотренной в подпунктах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пункта 2,  для оценки характера, качества, достаточности свойств и ликвидности активов, включенных в соответствующий портфель эмиссии;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параметры, в рамках которых могут осуществляться инвестиции, наименование и описание ответственного за управление общества, описание экспертизы и опыта соответствующего общества, резюме распоряжений регулирующих истечение его мандата и назначение другого управляющего общества, а также описание связей общества с любой другой стороной эмиссии.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эмитент имеет в виду новую эмиссию ценных бумаг обеспеченных теми же активами – декларация, которая подтверждает данный факт и представляет, за исключением случая, когда новые ценные бумаги могут быть заменены категориями существующих или находящихся в подчинении заемных документов, порядок информирования владельцев соответствующих существующих заемных документов.</w:t>
            </w:r>
            <w:proofErr w:type="gramEnd"/>
          </w:p>
        </w:tc>
      </w:tr>
      <w:tr w:rsidR="0046496E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3. СТРУКТУРА И ФИНАНСОВЫЕ ПОТОКИ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структуры сделки гарантирования, сопровожденное, в зависимости от случая, 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органиграммой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Описание участвующих в эмиссии обществ и функций, которые они будут осуществлять.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3)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метода и уточнение даты продажи, передачи, обновления или уступки эмитентом активов или любого другого права и любого другого обязательства, связанных с данными активами, или, в зависимости от случая, объяснение порядка, в котором полученные посредством эмиссии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>фонды будут полностью инвестированы эмитентом, и уточнение срока реализации инвестиции.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Описание финансовых потоков, с указанием, в особенности: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порядок, в котором связанные с соответствующими активами движения денежных средств позволят эмитенту выполнить свои обязательства перед владельцами облигаций, а также, в зависимости от случая, программу платежей и описание соответствующих гипотез;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возможные улучшения кредитной доли, моменты, когда могли бы произойти существенные дефициты ликвидности, источники свободной дополнительной ликвидности и распоряжения, предусмотренные для покрытия рисков неуплаты процентов/капитала;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не затрагивая положения абзаца b) подпункта 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– описание возможных субординированных займов;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инвестиционные параметры для временных излишков ликвидности и ответственные за соответствующие инвестиции стороны;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способы получения платежей за соответствующие активы;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порядок приоритетности платежей, осуществляемых эмитентом владельцам соответствующих ценных бумаг;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любое другое распоряжение, от которого зависит выплата процентов и капитала инвесторам.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5)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Наименование, адрес и основная экономическая деятельность учреждений, стоявших у начала соответствующих активов.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6)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выплата процентов и возмещение ценных бумаг соотносится с качествами или кредитом других активов, которые не принадлежат эмитенту, указывается в обязательном порядке информация, предусмотренная в подпунктах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пункта 2.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7)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Наименование, адрес и основная экономическая деятельность управляющего, агента по расчетам или лиц, которые имеют равноценную миссию, и резюме их обязанностей, отношений с учреждением, создавшим или стоявшим у начала соответствующих активов, а также распоряжений, регулирующих истечение их мандата и назначение нового управляющего или нового агента по расчетам.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8)</w:t>
            </w: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Наименование и адрес, а также краткое описание банков, в которых открыты главные счета для операции. </w:t>
            </w:r>
          </w:p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96E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4. ДЕКЛАРАЦИИ ПОСЛЕ ЭМИССИИ</w:t>
            </w:r>
          </w:p>
        </w:tc>
      </w:tr>
      <w:tr w:rsidR="0046496E" w:rsidRPr="0015655E" w:rsidTr="00B24149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46496E" w:rsidRPr="0015655E" w:rsidRDefault="0046496E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Указание в проспекте о возможном намерении эмитента предоставить, после эмиссии, информацию о ценных бумагах, которые должны быть допущены к торгам, или о качествах соответствующих активов. Если имеет такое намерение, эмитент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уточняет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какая информация будет предоставлена, место, где можно будет ее получить и частоту опубликования информации.</w:t>
            </w:r>
          </w:p>
        </w:tc>
      </w:tr>
    </w:tbl>
    <w:p w:rsidR="0046496E" w:rsidRDefault="0046496E"/>
    <w:sectPr w:rsidR="0046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E"/>
    <w:rsid w:val="004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49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6496E"/>
    <w:rPr>
      <w:rFonts w:ascii="Calibri" w:eastAsia="Times New Roman" w:hAnsi="Calibri" w:cs="Times New Roman"/>
      <w:lang w:val="ru-RU" w:eastAsia="ru-RU"/>
    </w:rPr>
  </w:style>
  <w:style w:type="paragraph" w:customStyle="1" w:styleId="norm">
    <w:name w:val="norm"/>
    <w:basedOn w:val="Normal"/>
    <w:rsid w:val="00464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49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6496E"/>
    <w:rPr>
      <w:rFonts w:ascii="Calibri" w:eastAsia="Times New Roman" w:hAnsi="Calibri" w:cs="Times New Roman"/>
      <w:lang w:val="ru-RU" w:eastAsia="ru-RU"/>
    </w:rPr>
  </w:style>
  <w:style w:type="paragraph" w:customStyle="1" w:styleId="norm">
    <w:name w:val="norm"/>
    <w:basedOn w:val="Normal"/>
    <w:rsid w:val="00464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2018-05-29T06:30:00Z</dcterms:created>
  <dcterms:modified xsi:type="dcterms:W3CDTF">2018-05-29T06:31:00Z</dcterms:modified>
</cp:coreProperties>
</file>